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A1" w:rsidRDefault="009A5BA1" w:rsidP="009A5BA1">
      <w:pPr>
        <w:rPr>
          <w:rFonts w:ascii="TeeFranklin Md" w:hAnsi="TeeFranklin Md"/>
          <w:sz w:val="28"/>
          <w:szCs w:val="28"/>
          <w:highlight w:val="lightGray"/>
        </w:rPr>
      </w:pPr>
      <w:r>
        <w:rPr>
          <w:rFonts w:ascii="TeeFranklin Md" w:hAnsi="TeeFranklin Md"/>
          <w:sz w:val="28"/>
          <w:szCs w:val="28"/>
          <w:highlight w:val="lightGray"/>
        </w:rPr>
        <w:t>Review Period 1</w:t>
      </w:r>
    </w:p>
    <w:p w:rsidR="009A5BA1" w:rsidRPr="009F11FC" w:rsidRDefault="009A5BA1" w:rsidP="009A5BA1">
      <w:pPr>
        <w:rPr>
          <w:rFonts w:ascii="TeeFranklin Md" w:hAnsi="TeeFranklin Md"/>
          <w:sz w:val="28"/>
          <w:szCs w:val="28"/>
        </w:rPr>
      </w:pPr>
      <w:r>
        <w:rPr>
          <w:rFonts w:ascii="TeeFranklin Md" w:hAnsi="TeeFranklin Md"/>
          <w:sz w:val="28"/>
          <w:szCs w:val="28"/>
          <w:highlight w:val="lightGray"/>
        </w:rPr>
        <w:t xml:space="preserve">DOCUMENT BASED QUESTION </w:t>
      </w:r>
      <w:r w:rsidRPr="009F11FC">
        <w:rPr>
          <w:rFonts w:ascii="TeeFranklin Md" w:hAnsi="TeeFranklin Md"/>
          <w:sz w:val="28"/>
          <w:szCs w:val="28"/>
        </w:rPr>
        <w:t xml:space="preserve">  </w:t>
      </w:r>
      <w:r>
        <w:rPr>
          <w:rFonts w:ascii="TeeFranklin Md" w:hAnsi="TeeFranklin Md"/>
          <w:sz w:val="28"/>
          <w:szCs w:val="28"/>
        </w:rPr>
        <w:t>2</w:t>
      </w:r>
    </w:p>
    <w:p w:rsidR="009A5BA1" w:rsidRPr="006D4968" w:rsidRDefault="009A5BA1" w:rsidP="009A5BA1">
      <w:pPr>
        <w:autoSpaceDE w:val="0"/>
        <w:autoSpaceDN w:val="0"/>
        <w:adjustRightInd w:val="0"/>
        <w:spacing w:after="0" w:line="240" w:lineRule="auto"/>
        <w:rPr>
          <w:rFonts w:ascii="TeeFranklin Md" w:hAnsi="TeeFranklin Md" w:cs="Palatino-Roman"/>
        </w:rPr>
      </w:pPr>
      <w:r w:rsidRPr="007F2F8D">
        <w:rPr>
          <w:rFonts w:ascii="TeeFranklin Md" w:hAnsi="TeeFranklin Md" w:cs="Palatino-Bold"/>
          <w:b/>
          <w:bCs/>
          <w:sz w:val="24"/>
          <w:szCs w:val="24"/>
        </w:rPr>
        <w:t xml:space="preserve">Directions: </w:t>
      </w:r>
      <w:r w:rsidRPr="006D4968">
        <w:rPr>
          <w:rFonts w:ascii="TeeFranklin Md" w:hAnsi="TeeFranklin Md" w:cs="Palatino-Roman"/>
        </w:rPr>
        <w:t>The following question is based on the accompanying Documents 1–</w:t>
      </w:r>
      <w:r>
        <w:rPr>
          <w:rFonts w:ascii="TeeFranklin Md" w:hAnsi="TeeFranklin Md" w:cs="Palatino-Roman"/>
        </w:rPr>
        <w:t>6</w:t>
      </w:r>
      <w:r w:rsidRPr="006D4968">
        <w:rPr>
          <w:rFonts w:ascii="TeeFranklin Md" w:hAnsi="TeeFranklin Md" w:cs="Palatino-Roman"/>
        </w:rPr>
        <w:t>. This question is designed to test your ability to apply several historical-thinking skills simultaneously—i.e., periodization, historical argumentation, and patterns of continuity and change over time. Your response should be based on your analysis of the documents and your knowledge of the topic.</w:t>
      </w:r>
    </w:p>
    <w:p w:rsidR="009A5BA1" w:rsidRPr="006D4968" w:rsidRDefault="009A5BA1" w:rsidP="009A5BA1">
      <w:pPr>
        <w:autoSpaceDE w:val="0"/>
        <w:autoSpaceDN w:val="0"/>
        <w:adjustRightInd w:val="0"/>
        <w:spacing w:after="0" w:line="240" w:lineRule="auto"/>
        <w:rPr>
          <w:rFonts w:ascii="TeeFranklin Md" w:hAnsi="TeeFranklin Md" w:cs="Palatino-Roman"/>
        </w:rPr>
      </w:pPr>
    </w:p>
    <w:p w:rsidR="009A5BA1" w:rsidRPr="006D4968" w:rsidRDefault="009A5BA1" w:rsidP="009A5BA1">
      <w:p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Write a well-integrated essay that does the following:</w:t>
      </w:r>
    </w:p>
    <w:p w:rsidR="009A5BA1" w:rsidRPr="006D4968" w:rsidRDefault="009A5BA1" w:rsidP="009A5BA1">
      <w:pPr>
        <w:autoSpaceDE w:val="0"/>
        <w:autoSpaceDN w:val="0"/>
        <w:adjustRightInd w:val="0"/>
        <w:spacing w:after="0" w:line="240" w:lineRule="auto"/>
        <w:rPr>
          <w:rFonts w:ascii="TeeFranklin Md" w:hAnsi="TeeFranklin Md" w:cs="Palatino-Roman"/>
        </w:rPr>
      </w:pPr>
    </w:p>
    <w:p w:rsidR="009A5BA1" w:rsidRPr="006D4968" w:rsidRDefault="009A5BA1" w:rsidP="009A5BA1">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States an appropriate thesis that directly addresses all parts of the question.</w:t>
      </w:r>
    </w:p>
    <w:p w:rsidR="009A5BA1" w:rsidRPr="006D4968" w:rsidRDefault="009A5BA1" w:rsidP="009A5BA1">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Supports the thesis or an appropriate argument with evidence from all or all but one of the documents AND your knowledge of European history beyond/outside the documents.</w:t>
      </w:r>
    </w:p>
    <w:p w:rsidR="009A5BA1" w:rsidRPr="006D4968" w:rsidRDefault="009A5BA1" w:rsidP="009A5BA1">
      <w:pPr>
        <w:pStyle w:val="ListParagraph"/>
        <w:numPr>
          <w:ilvl w:val="0"/>
          <w:numId w:val="5"/>
        </w:numPr>
        <w:autoSpaceDE w:val="0"/>
        <w:autoSpaceDN w:val="0"/>
        <w:adjustRightInd w:val="0"/>
        <w:spacing w:after="0" w:line="240" w:lineRule="auto"/>
        <w:rPr>
          <w:rFonts w:ascii="TeeFranklin Md" w:hAnsi="TeeFranklin Md" w:cs="Palatino-Roman"/>
        </w:rPr>
      </w:pPr>
      <w:bookmarkStart w:id="0" w:name="_GoBack"/>
      <w:bookmarkEnd w:id="0"/>
      <w:r w:rsidRPr="006D4968">
        <w:rPr>
          <w:rFonts w:ascii="TeeFranklin Md" w:hAnsi="TeeFranklin Md" w:cs="Palatino-Roman"/>
        </w:rPr>
        <w:t>Analyzes a majority of the documents in terms of such features as their intended audience, purpose, point of view, format, argument, limitations, and/or social context as appropriate to the argument.</w:t>
      </w:r>
    </w:p>
    <w:p w:rsidR="009A5BA1" w:rsidRPr="006D4968" w:rsidRDefault="009A5BA1" w:rsidP="009A5BA1">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Places the arguments in the context of broader, regional, national, or global processes.</w:t>
      </w:r>
    </w:p>
    <w:p w:rsidR="009A5BA1" w:rsidRPr="006D4968" w:rsidRDefault="009A5BA1" w:rsidP="009A5BA1">
      <w:pPr>
        <w:rPr>
          <w:rFonts w:ascii="TeeFranklin Md" w:hAnsi="TeeFranklin Md"/>
          <w:b/>
          <w:u w:val="single"/>
        </w:rPr>
      </w:pPr>
    </w:p>
    <w:p w:rsidR="009A5BA1" w:rsidRPr="004D1C50" w:rsidRDefault="009A5BA1" w:rsidP="009A5BA1">
      <w:pPr>
        <w:rPr>
          <w:rFonts w:ascii="TeeFranklin Md" w:hAnsi="TeeFranklin Md"/>
          <w:b/>
          <w:sz w:val="24"/>
          <w:szCs w:val="24"/>
        </w:rPr>
      </w:pPr>
      <w:r w:rsidRPr="004D1C50">
        <w:rPr>
          <w:rFonts w:ascii="TeeFranklin Md" w:hAnsi="TeeFranklin Md"/>
          <w:b/>
          <w:sz w:val="24"/>
          <w:szCs w:val="24"/>
        </w:rPr>
        <w:t xml:space="preserve">1. To what extent did the ideas and discoveries of the scientific revolution represent a source of continuity with or change from the world view established by ancient philosophers and the Catholic Church? </w:t>
      </w:r>
    </w:p>
    <w:tbl>
      <w:tblPr>
        <w:tblStyle w:val="TableGrid"/>
        <w:tblW w:w="0" w:type="auto"/>
        <w:tblInd w:w="108" w:type="dxa"/>
        <w:tblLook w:val="04A0" w:firstRow="1" w:lastRow="0" w:firstColumn="1" w:lastColumn="0" w:noHBand="0" w:noVBand="1"/>
      </w:tblPr>
      <w:tblGrid>
        <w:gridCol w:w="4909"/>
        <w:gridCol w:w="2027"/>
        <w:gridCol w:w="2306"/>
      </w:tblGrid>
      <w:tr w:rsidR="009A5BA1" w:rsidRPr="006D4968" w:rsidTr="00325202">
        <w:tc>
          <w:tcPr>
            <w:tcW w:w="5067" w:type="dxa"/>
          </w:tcPr>
          <w:p w:rsidR="009A5BA1" w:rsidRPr="006D4968" w:rsidRDefault="009A5BA1" w:rsidP="00325202">
            <w:pPr>
              <w:rPr>
                <w:rFonts w:ascii="TeeFranklin Md" w:hAnsi="TeeFranklin Md"/>
                <w:b/>
              </w:rPr>
            </w:pPr>
            <w:r w:rsidRPr="006D4968">
              <w:rPr>
                <w:rFonts w:ascii="TeeFranklin Md" w:hAnsi="TeeFranklin Md"/>
                <w:b/>
              </w:rPr>
              <w:t>Learning Objective</w:t>
            </w:r>
          </w:p>
        </w:tc>
        <w:tc>
          <w:tcPr>
            <w:tcW w:w="2050" w:type="dxa"/>
          </w:tcPr>
          <w:p w:rsidR="009A5BA1" w:rsidRPr="006D4968" w:rsidRDefault="009A5BA1" w:rsidP="00325202">
            <w:pPr>
              <w:rPr>
                <w:rFonts w:ascii="TeeFranklin Md" w:hAnsi="TeeFranklin Md"/>
                <w:b/>
              </w:rPr>
            </w:pPr>
            <w:r w:rsidRPr="006D4968">
              <w:rPr>
                <w:rFonts w:ascii="TeeFranklin Md" w:hAnsi="TeeFranklin Md"/>
                <w:b/>
              </w:rPr>
              <w:t>Main Historical Thinking Skills</w:t>
            </w:r>
          </w:p>
        </w:tc>
        <w:tc>
          <w:tcPr>
            <w:tcW w:w="2351" w:type="dxa"/>
          </w:tcPr>
          <w:p w:rsidR="009A5BA1" w:rsidRPr="006D4968" w:rsidRDefault="009A5BA1" w:rsidP="00325202">
            <w:pPr>
              <w:rPr>
                <w:rFonts w:ascii="TeeFranklin Md" w:hAnsi="TeeFranklin Md"/>
                <w:b/>
              </w:rPr>
            </w:pPr>
            <w:r w:rsidRPr="006D4968">
              <w:rPr>
                <w:rFonts w:ascii="TeeFranklin Md" w:hAnsi="TeeFranklin Md"/>
                <w:b/>
              </w:rPr>
              <w:t xml:space="preserve">Key Concepts in the </w:t>
            </w:r>
          </w:p>
          <w:p w:rsidR="009A5BA1" w:rsidRPr="006D4968" w:rsidRDefault="009A5BA1" w:rsidP="00325202">
            <w:pPr>
              <w:rPr>
                <w:rFonts w:ascii="TeeFranklin Md" w:hAnsi="TeeFranklin Md"/>
                <w:b/>
              </w:rPr>
            </w:pPr>
            <w:r w:rsidRPr="006D4968">
              <w:rPr>
                <w:rFonts w:ascii="TeeFranklin Md" w:hAnsi="TeeFranklin Md"/>
                <w:b/>
              </w:rPr>
              <w:t>Curriculum Framework</w:t>
            </w:r>
          </w:p>
        </w:tc>
      </w:tr>
      <w:tr w:rsidR="009A5BA1" w:rsidRPr="006D4968" w:rsidTr="00325202">
        <w:tc>
          <w:tcPr>
            <w:tcW w:w="5067" w:type="dxa"/>
          </w:tcPr>
          <w:p w:rsidR="009A5BA1" w:rsidRPr="006D4968" w:rsidRDefault="009A5BA1" w:rsidP="00325202">
            <w:pPr>
              <w:rPr>
                <w:rFonts w:ascii="TeeFranklin Md" w:hAnsi="TeeFranklin Md"/>
              </w:rPr>
            </w:pPr>
            <w:r w:rsidRPr="006D4968">
              <w:rPr>
                <w:rFonts w:ascii="TeeFranklin Md" w:hAnsi="TeeFranklin Md"/>
                <w:b/>
              </w:rPr>
              <w:t xml:space="preserve">OS-1 </w:t>
            </w:r>
            <w:r w:rsidRPr="006D4968">
              <w:rPr>
                <w:rFonts w:ascii="TeeFranklin Md" w:hAnsi="TeeFranklin Md"/>
              </w:rPr>
              <w:t>Account for the persistence of traditional and folk understandings of the cosmos and causation, even with the advent of the Scientific Revolution.</w:t>
            </w:r>
          </w:p>
          <w:p w:rsidR="009A5BA1" w:rsidRPr="006D4968" w:rsidRDefault="009A5BA1" w:rsidP="00325202">
            <w:pPr>
              <w:rPr>
                <w:rFonts w:ascii="TeeFranklin Md" w:hAnsi="TeeFranklin Md"/>
                <w:b/>
              </w:rPr>
            </w:pPr>
          </w:p>
          <w:p w:rsidR="009A5BA1" w:rsidRPr="006D4968" w:rsidRDefault="009A5BA1" w:rsidP="00325202">
            <w:pPr>
              <w:rPr>
                <w:rFonts w:ascii="TeeFranklin Md" w:hAnsi="TeeFranklin Md" w:cstheme="minorHAnsi"/>
              </w:rPr>
            </w:pPr>
            <w:r w:rsidRPr="006D4968">
              <w:rPr>
                <w:rFonts w:ascii="TeeFranklin Md" w:hAnsi="TeeFranklin Md" w:cstheme="minorHAnsi"/>
                <w:b/>
              </w:rPr>
              <w:t>OS-5</w:t>
            </w:r>
            <w:r w:rsidRPr="006D4968">
              <w:rPr>
                <w:rFonts w:ascii="TeeFranklin Md" w:hAnsi="TeeFranklin Md" w:cstheme="minorHAnsi"/>
              </w:rPr>
              <w:t xml:space="preserve"> Analyze how the development of Renaissance humanism, the printing press, and the scientific method contributed to the emergence of a new theory of knowledge and conception of the universe.</w:t>
            </w:r>
          </w:p>
          <w:p w:rsidR="009A5BA1" w:rsidRPr="006D4968" w:rsidRDefault="009A5BA1" w:rsidP="00325202">
            <w:pPr>
              <w:rPr>
                <w:rFonts w:ascii="TeeFranklin Md" w:hAnsi="TeeFranklin Md"/>
                <w:b/>
              </w:rPr>
            </w:pPr>
          </w:p>
          <w:p w:rsidR="009A5BA1" w:rsidRPr="006D4968" w:rsidRDefault="009A5BA1" w:rsidP="00325202">
            <w:pPr>
              <w:rPr>
                <w:rFonts w:ascii="TeeFranklin Md" w:hAnsi="TeeFranklin Md"/>
              </w:rPr>
            </w:pPr>
            <w:r w:rsidRPr="006D4968">
              <w:rPr>
                <w:rFonts w:ascii="TeeFranklin Md" w:hAnsi="TeeFranklin Md"/>
                <w:b/>
              </w:rPr>
              <w:t xml:space="preserve">IS-1 </w:t>
            </w:r>
            <w:r w:rsidRPr="006D4968">
              <w:rPr>
                <w:rFonts w:ascii="TeeFranklin Md" w:hAnsi="TeeFranklin Md"/>
              </w:rPr>
              <w:t>Explain the characteristics, practices and beliefs of traditional communities in preindustrial Europe and how they were challenged by religious reform.</w:t>
            </w:r>
          </w:p>
          <w:p w:rsidR="009A5BA1" w:rsidRPr="006D4968" w:rsidRDefault="009A5BA1" w:rsidP="00325202">
            <w:pPr>
              <w:rPr>
                <w:rFonts w:ascii="TeeFranklin Md" w:hAnsi="TeeFranklin Md"/>
              </w:rPr>
            </w:pPr>
          </w:p>
        </w:tc>
        <w:tc>
          <w:tcPr>
            <w:tcW w:w="2050" w:type="dxa"/>
          </w:tcPr>
          <w:p w:rsidR="009A5BA1" w:rsidRPr="006D4968" w:rsidRDefault="009A5BA1" w:rsidP="00325202">
            <w:pPr>
              <w:rPr>
                <w:rFonts w:ascii="TeeFranklin Md" w:hAnsi="TeeFranklin Md"/>
              </w:rPr>
            </w:pPr>
            <w:r w:rsidRPr="006D4968">
              <w:rPr>
                <w:rFonts w:ascii="TeeFranklin Md" w:hAnsi="TeeFranklin Md"/>
              </w:rPr>
              <w:t>Periodization</w:t>
            </w:r>
          </w:p>
          <w:p w:rsidR="009A5BA1" w:rsidRPr="006D4968" w:rsidRDefault="009A5BA1" w:rsidP="00325202">
            <w:pPr>
              <w:rPr>
                <w:rFonts w:ascii="TeeFranklin Md" w:hAnsi="TeeFranklin Md"/>
              </w:rPr>
            </w:pPr>
          </w:p>
          <w:p w:rsidR="009A5BA1" w:rsidRPr="006D4968" w:rsidRDefault="009A5BA1" w:rsidP="00325202">
            <w:pPr>
              <w:rPr>
                <w:rFonts w:ascii="TeeFranklin Md" w:hAnsi="TeeFranklin Md"/>
              </w:rPr>
            </w:pPr>
            <w:r w:rsidRPr="006D4968">
              <w:rPr>
                <w:rFonts w:ascii="TeeFranklin Md" w:hAnsi="TeeFranklin Md"/>
              </w:rPr>
              <w:t>Historical Argumentation</w:t>
            </w:r>
          </w:p>
          <w:p w:rsidR="009A5BA1" w:rsidRPr="006D4968" w:rsidRDefault="009A5BA1" w:rsidP="00325202">
            <w:pPr>
              <w:rPr>
                <w:rFonts w:ascii="TeeFranklin Md" w:hAnsi="TeeFranklin Md"/>
              </w:rPr>
            </w:pPr>
          </w:p>
          <w:p w:rsidR="009A5BA1" w:rsidRPr="006D4968" w:rsidRDefault="009A5BA1" w:rsidP="00325202">
            <w:pPr>
              <w:rPr>
                <w:rFonts w:ascii="TeeFranklin Md" w:hAnsi="TeeFranklin Md"/>
              </w:rPr>
            </w:pPr>
            <w:r w:rsidRPr="006D4968">
              <w:rPr>
                <w:rFonts w:ascii="TeeFranklin Md" w:hAnsi="TeeFranklin Md"/>
              </w:rPr>
              <w:t>Patterns of Continuity and Change over Time</w:t>
            </w:r>
          </w:p>
          <w:p w:rsidR="009A5BA1" w:rsidRPr="006D4968" w:rsidRDefault="009A5BA1" w:rsidP="00325202">
            <w:pPr>
              <w:rPr>
                <w:rFonts w:ascii="TeeFranklin Md" w:hAnsi="TeeFranklin Md"/>
              </w:rPr>
            </w:pPr>
          </w:p>
        </w:tc>
        <w:tc>
          <w:tcPr>
            <w:tcW w:w="2351" w:type="dxa"/>
          </w:tcPr>
          <w:p w:rsidR="009A5BA1" w:rsidRPr="006D4968" w:rsidRDefault="009A5BA1" w:rsidP="00325202">
            <w:pPr>
              <w:rPr>
                <w:rFonts w:ascii="TeeFranklin Md" w:hAnsi="TeeFranklin Md"/>
              </w:rPr>
            </w:pPr>
            <w:r w:rsidRPr="006D4968">
              <w:rPr>
                <w:rFonts w:ascii="TeeFranklin Md" w:hAnsi="TeeFranklin Md"/>
              </w:rPr>
              <w:t xml:space="preserve">1.1.IV.A </w:t>
            </w:r>
          </w:p>
          <w:p w:rsidR="009A5BA1" w:rsidRPr="006D4968" w:rsidRDefault="009A5BA1" w:rsidP="00325202">
            <w:pPr>
              <w:rPr>
                <w:rFonts w:ascii="TeeFranklin Md" w:hAnsi="TeeFranklin Md"/>
              </w:rPr>
            </w:pPr>
          </w:p>
          <w:p w:rsidR="009A5BA1" w:rsidRPr="006D4968" w:rsidRDefault="009A5BA1" w:rsidP="00325202">
            <w:pPr>
              <w:rPr>
                <w:rFonts w:ascii="TeeFranklin Md" w:hAnsi="TeeFranklin Md"/>
              </w:rPr>
            </w:pPr>
            <w:r w:rsidRPr="006D4968">
              <w:rPr>
                <w:rFonts w:ascii="TeeFranklin Md" w:hAnsi="TeeFranklin Md"/>
              </w:rPr>
              <w:t xml:space="preserve">1.1.IV.B </w:t>
            </w:r>
          </w:p>
          <w:p w:rsidR="009A5BA1" w:rsidRPr="006D4968" w:rsidRDefault="009A5BA1" w:rsidP="00325202">
            <w:pPr>
              <w:rPr>
                <w:rFonts w:ascii="TeeFranklin Md" w:hAnsi="TeeFranklin Md"/>
              </w:rPr>
            </w:pPr>
          </w:p>
          <w:p w:rsidR="009A5BA1" w:rsidRPr="006D4968" w:rsidRDefault="009A5BA1" w:rsidP="00325202">
            <w:pPr>
              <w:rPr>
                <w:rFonts w:ascii="TeeFranklin Md" w:hAnsi="TeeFranklin Md"/>
              </w:rPr>
            </w:pPr>
            <w:r w:rsidRPr="006D4968">
              <w:rPr>
                <w:rFonts w:ascii="TeeFranklin Md" w:hAnsi="TeeFranklin Md"/>
              </w:rPr>
              <w:t>1.1.IV.D</w:t>
            </w:r>
          </w:p>
          <w:p w:rsidR="009A5BA1" w:rsidRPr="006D4968" w:rsidRDefault="009A5BA1" w:rsidP="00325202">
            <w:pPr>
              <w:rPr>
                <w:rFonts w:ascii="TeeFranklin Md" w:hAnsi="TeeFranklin Md"/>
              </w:rPr>
            </w:pPr>
          </w:p>
        </w:tc>
      </w:tr>
    </w:tbl>
    <w:p w:rsidR="009A5BA1" w:rsidRPr="006D4968" w:rsidRDefault="009A5BA1" w:rsidP="009A5BA1">
      <w:pPr>
        <w:rPr>
          <w:rFonts w:ascii="TeeFranklin Md" w:hAnsi="TeeFranklin Md"/>
        </w:rPr>
      </w:pPr>
    </w:p>
    <w:p w:rsidR="009A5BA1" w:rsidRPr="006D4968" w:rsidRDefault="009A5BA1" w:rsidP="009A5BA1">
      <w:pPr>
        <w:rPr>
          <w:rFonts w:ascii="TeeFranklin Md" w:hAnsi="TeeFranklin Md"/>
          <w:b/>
        </w:rPr>
      </w:pPr>
    </w:p>
    <w:p w:rsidR="009A5BA1" w:rsidRDefault="009A5BA1" w:rsidP="009A5BA1">
      <w:pPr>
        <w:rPr>
          <w:rFonts w:ascii="TeeFranklin Md" w:hAnsi="TeeFranklin Md"/>
          <w:b/>
          <w:sz w:val="24"/>
          <w:szCs w:val="24"/>
        </w:rPr>
      </w:pPr>
    </w:p>
    <w:p w:rsidR="009A5BA1" w:rsidRDefault="009A5BA1" w:rsidP="009A5BA1">
      <w:pPr>
        <w:rPr>
          <w:rFonts w:ascii="TeeFranklin Md" w:hAnsi="TeeFranklin Md"/>
          <w:b/>
          <w:sz w:val="24"/>
          <w:szCs w:val="24"/>
        </w:rPr>
      </w:pPr>
    </w:p>
    <w:p w:rsidR="009A5BA1" w:rsidRPr="006D4968" w:rsidRDefault="009A5BA1" w:rsidP="009A5BA1">
      <w:pPr>
        <w:rPr>
          <w:rFonts w:ascii="TeeFranklin Md" w:hAnsi="TeeFranklin Md"/>
          <w:b/>
          <w:sz w:val="24"/>
          <w:szCs w:val="24"/>
        </w:rPr>
      </w:pPr>
      <w:r w:rsidRPr="006D4968">
        <w:rPr>
          <w:rFonts w:ascii="TeeFranklin Md" w:hAnsi="TeeFranklin Md"/>
          <w:b/>
          <w:sz w:val="24"/>
          <w:szCs w:val="24"/>
        </w:rPr>
        <w:t>ANSWER</w:t>
      </w:r>
    </w:p>
    <w:p w:rsidR="009A5BA1" w:rsidRPr="007F2F8D" w:rsidRDefault="009A5BA1" w:rsidP="009A5BA1">
      <w:pPr>
        <w:rPr>
          <w:rFonts w:ascii="TeeFranklin Md" w:hAnsi="TeeFranklin Md"/>
          <w:b/>
          <w:sz w:val="24"/>
          <w:szCs w:val="24"/>
        </w:rPr>
      </w:pPr>
      <w:r w:rsidRPr="007F2F8D">
        <w:rPr>
          <w:rFonts w:ascii="TeeFranklin Md" w:hAnsi="TeeFranklin Md"/>
          <w:b/>
          <w:sz w:val="24"/>
          <w:szCs w:val="24"/>
        </w:rPr>
        <w:t>Thesis</w:t>
      </w:r>
    </w:p>
    <w:p w:rsidR="009A5BA1" w:rsidRPr="006D4968" w:rsidRDefault="009A5BA1" w:rsidP="009A5BA1">
      <w:pPr>
        <w:rPr>
          <w:rFonts w:ascii="TeeFranklin Md" w:hAnsi="TeeFranklin Md"/>
        </w:rPr>
      </w:pPr>
      <w:r w:rsidRPr="006D4968">
        <w:rPr>
          <w:rFonts w:ascii="TeeFranklin Md" w:hAnsi="TeeFranklin Md"/>
        </w:rPr>
        <w:t>Possible thesis statements could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The Scientific Revolution was a complete split from the views of ancient philosophers and the Catholic Church.</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The Scientific Revolution was a repudiation of much of the world view of the Catholic Church but maintained continuity with the ideals of ancient philosophers.</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The Scientific Revolution was a source of continuity in the development of knowledge from ancient philosophers and the doctrines of the Catholic Church.</w:t>
      </w:r>
    </w:p>
    <w:p w:rsidR="009A5BA1" w:rsidRPr="007F2F8D" w:rsidRDefault="009A5BA1" w:rsidP="009A5BA1">
      <w:pPr>
        <w:rPr>
          <w:rFonts w:ascii="TeeFranklin Md" w:hAnsi="TeeFranklin Md"/>
          <w:b/>
          <w:sz w:val="24"/>
          <w:szCs w:val="24"/>
        </w:rPr>
      </w:pPr>
      <w:r w:rsidRPr="007F2F8D">
        <w:rPr>
          <w:rFonts w:ascii="TeeFranklin Md" w:hAnsi="TeeFranklin Md"/>
          <w:b/>
          <w:sz w:val="24"/>
          <w:szCs w:val="24"/>
        </w:rPr>
        <w:t>Analysis of Documents</w:t>
      </w:r>
    </w:p>
    <w:p w:rsidR="009A5BA1" w:rsidRPr="006D4968" w:rsidRDefault="009A5BA1" w:rsidP="009A5BA1">
      <w:pPr>
        <w:rPr>
          <w:rFonts w:ascii="TeeFranklin Md" w:hAnsi="TeeFranklin Md"/>
        </w:rPr>
      </w:pPr>
      <w:r w:rsidRPr="006D4968">
        <w:rPr>
          <w:rFonts w:ascii="TeeFranklin Md" w:hAnsi="TeeFranklin Md"/>
        </w:rPr>
        <w:t xml:space="preserve">To earn full credit for analysis of documents, responses must offer at least one of the following for </w:t>
      </w:r>
      <w:r w:rsidRPr="006D4968">
        <w:rPr>
          <w:rFonts w:ascii="TeeFranklin Md" w:hAnsi="TeeFranklin Md"/>
          <w:i/>
        </w:rPr>
        <w:t xml:space="preserve">all </w:t>
      </w:r>
      <w:r w:rsidRPr="006D4968">
        <w:rPr>
          <w:rFonts w:ascii="TeeFranklin Md" w:hAnsi="TeeFranklin Md"/>
        </w:rPr>
        <w:t xml:space="preserve">or </w:t>
      </w:r>
      <w:r w:rsidRPr="006D4968">
        <w:rPr>
          <w:rFonts w:ascii="TeeFranklin Md" w:hAnsi="TeeFranklin Md"/>
          <w:i/>
        </w:rPr>
        <w:t xml:space="preserve">all but one </w:t>
      </w:r>
      <w:r w:rsidRPr="006D4968">
        <w:rPr>
          <w:rFonts w:ascii="TeeFranklin Md" w:hAnsi="TeeFranklin Md"/>
        </w:rPr>
        <w:t>of the documents:  intended audience, purpose, historical context, author’s point of view.  The analyses must also support the stated thesis or a relevant argument.</w:t>
      </w: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Default="009A5BA1" w:rsidP="009A5BA1">
      <w:pPr>
        <w:rPr>
          <w:rFonts w:ascii="TeeFranklin Md" w:hAnsi="TeeFranklin Md"/>
          <w:b/>
        </w:rPr>
      </w:pPr>
    </w:p>
    <w:p w:rsidR="009A5BA1" w:rsidRDefault="009A5BA1" w:rsidP="009A5BA1">
      <w:pPr>
        <w:rPr>
          <w:rFonts w:ascii="TeeFranklin Md" w:hAnsi="TeeFranklin Md"/>
          <w:b/>
        </w:rPr>
      </w:pPr>
    </w:p>
    <w:p w:rsidR="009A5BA1"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Pr="006D4968" w:rsidRDefault="009A5BA1" w:rsidP="009A5BA1">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1</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Source: Nicolaus Copernicus, “To His Holiness, Pope Paul III,” Preface to </w:t>
      </w:r>
      <w:r w:rsidRPr="006D4968">
        <w:rPr>
          <w:rFonts w:ascii="TeeFranklin Md" w:hAnsi="TeeFranklin Md"/>
          <w:i/>
        </w:rPr>
        <w:t>On the Revolutions of the Heavenly Spheres</w:t>
      </w:r>
      <w:r w:rsidRPr="006D4968">
        <w:rPr>
          <w:rFonts w:ascii="TeeFranklin Md" w:hAnsi="TeeFranklin Md"/>
        </w:rPr>
        <w:t>, 1543</w:t>
      </w:r>
    </w:p>
    <w:p w:rsidR="009A5BA1" w:rsidRPr="006D4968" w:rsidRDefault="009A5BA1" w:rsidP="009A5B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eeFranklin Md" w:hAnsi="TeeFranklin Md"/>
        </w:rPr>
      </w:pPr>
      <w:r w:rsidRPr="006D4968">
        <w:rPr>
          <w:rFonts w:ascii="TeeFranklin Md" w:hAnsi="TeeFranklin Md"/>
        </w:rPr>
        <w:t xml:space="preserve">Those who know that the consensus of many centuries has sanctioned the conception that the earth remains at rest in the middle of the heaven as its center would, I reflected, regard it as an insane pronouncement if I made the opposite assertion that the earth moves. . . . . However, Your Holiness will perhaps not be greatly surprised that I have dared to publish my studies after devoting so much effort to working them out that I did not hesitate to put down my thoughts about the earth’s motion in written form too. But you are rather waiting to hear from me how it occurred to me to venture to conceive any motion of earth, against the traditional opinion of astronomers and almost against common sense. I have accordingly no desire to [hide] from Your Holiness that I was impelled to consider a different system of deducing the motions of the universe’s spheres for no other reason than the realization that astronomers do not agree among themselves in their investigations of this subject. For, in the first place, they are so uncertain about the motion of the sun and moon that they cannot establish and observe a constant length even for the tropical year. Secondly, in determining the motions not only of these bodies but also of the other five planets, they do not use the same principles, assumptions, and explanations of the apparent revolutions and motions. . . . . For a long time, then, I reflect on this confusion in the astronomical traditions concerning the derivation of the motions of the universe’s spheres. I began to be annoyed that the movements of the world machine. Created for our sake by the best and most systematic Artisan of all, were not understood with greater certainty by the philosophers, who otherwise examined so precisely the most insignificant trifles of this world. For this reason I undertook the task of rereading the works of all the philosophers which I could obtain to learn whether anyone had ever proposed other motions of the universe's spheres than those expounded by the teachers of astronomy in the schools. And in fact first I found in Cicero that </w:t>
      </w:r>
      <w:proofErr w:type="spellStart"/>
      <w:r w:rsidRPr="006D4968">
        <w:rPr>
          <w:rFonts w:ascii="TeeFranklin Md" w:hAnsi="TeeFranklin Md"/>
        </w:rPr>
        <w:t>Hicetas</w:t>
      </w:r>
      <w:proofErr w:type="spellEnd"/>
      <w:r w:rsidRPr="006D4968">
        <w:rPr>
          <w:rFonts w:ascii="TeeFranklin Md" w:hAnsi="TeeFranklin Md"/>
        </w:rPr>
        <w:t xml:space="preserve"> supposed the earth to move. Later I also discovered in Plutarch that certain others were of this opinion. I have decided to set his words down here, so that they may be available to everybody:</w:t>
      </w:r>
    </w:p>
    <w:p w:rsidR="009A5BA1" w:rsidRPr="006D4968" w:rsidRDefault="009A5BA1" w:rsidP="009A5B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eeFranklin Md" w:hAnsi="TeeFranklin Md"/>
        </w:rPr>
      </w:pPr>
    </w:p>
    <w:p w:rsidR="009A5BA1" w:rsidRPr="006D4968" w:rsidRDefault="009A5BA1" w:rsidP="009A5B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eeFranklin Md" w:hAnsi="TeeFranklin Md"/>
        </w:rPr>
      </w:pPr>
      <w:r w:rsidRPr="006D4968">
        <w:rPr>
          <w:rFonts w:ascii="TeeFranklin Md" w:hAnsi="TeeFranklin Md"/>
        </w:rPr>
        <w:t xml:space="preserve">Some think that the earth remains at rest. But </w:t>
      </w:r>
      <w:proofErr w:type="spellStart"/>
      <w:r w:rsidRPr="006D4968">
        <w:rPr>
          <w:rFonts w:ascii="TeeFranklin Md" w:hAnsi="TeeFranklin Md"/>
        </w:rPr>
        <w:t>Philolaus</w:t>
      </w:r>
      <w:proofErr w:type="spellEnd"/>
      <w:r w:rsidRPr="006D4968">
        <w:rPr>
          <w:rFonts w:ascii="TeeFranklin Md" w:hAnsi="TeeFranklin Md"/>
        </w:rPr>
        <w:t xml:space="preserve"> the Pythagorean believes that, like the sun and moon, it revolves around the fire in an oblique circle. </w:t>
      </w:r>
      <w:proofErr w:type="spellStart"/>
      <w:r w:rsidRPr="006D4968">
        <w:rPr>
          <w:rFonts w:ascii="TeeFranklin Md" w:hAnsi="TeeFranklin Md"/>
        </w:rPr>
        <w:t>Heraclides</w:t>
      </w:r>
      <w:proofErr w:type="spellEnd"/>
      <w:r w:rsidRPr="006D4968">
        <w:rPr>
          <w:rFonts w:ascii="TeeFranklin Md" w:hAnsi="TeeFranklin Md"/>
        </w:rPr>
        <w:t xml:space="preserve"> of Pontus, and </w:t>
      </w:r>
      <w:proofErr w:type="spellStart"/>
      <w:r w:rsidRPr="006D4968">
        <w:rPr>
          <w:rFonts w:ascii="TeeFranklin Md" w:hAnsi="TeeFranklin Md"/>
        </w:rPr>
        <w:t>Ecphantus</w:t>
      </w:r>
      <w:proofErr w:type="spellEnd"/>
      <w:r w:rsidRPr="006D4968">
        <w:rPr>
          <w:rFonts w:ascii="TeeFranklin Md" w:hAnsi="TeeFranklin Md"/>
        </w:rPr>
        <w:t xml:space="preserve"> the Pythagorean make the earth move, not in a progressive motion, but like a wheel in a rotation from west to east about its own center.</w:t>
      </w:r>
    </w:p>
    <w:p w:rsidR="009A5BA1" w:rsidRPr="006D4968" w:rsidRDefault="009A5BA1" w:rsidP="009A5BA1">
      <w:pPr>
        <w:autoSpaceDE w:val="0"/>
        <w:autoSpaceDN w:val="0"/>
        <w:adjustRightInd w:val="0"/>
        <w:spacing w:after="0" w:line="240" w:lineRule="auto"/>
        <w:rPr>
          <w:rFonts w:ascii="TeeFranklin Md" w:hAnsi="TeeFranklin Md" w:cs="Times New Roman"/>
        </w:rPr>
      </w:pPr>
    </w:p>
    <w:p w:rsidR="009A5BA1" w:rsidRPr="006D4968" w:rsidRDefault="009A5BA1" w:rsidP="009A5BA1">
      <w:pPr>
        <w:ind w:firstLine="720"/>
        <w:rPr>
          <w:rFonts w:ascii="TeeFranklin Md" w:hAnsi="TeeFranklin Md"/>
        </w:rPr>
      </w:pPr>
      <w:r w:rsidRPr="006D4968">
        <w:rPr>
          <w:rFonts w:ascii="TeeFranklin Md" w:hAnsi="TeeFranklin Md"/>
        </w:rPr>
        <w:t>Components of document analysis may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Audience: Copernicus addressed his preface to Pope Paul III and likely intended it for all leaders and theologians within the Catholic Church. Likewise, it served as a justification for his approach and ideals for all readers.</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Purpose: Copernicus was attempting to justify his methods and ideas within the traditions and ideas of ancient philosophers as a means to avoid sanctions and condemnation from Church officials.</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lastRenderedPageBreak/>
        <w:t xml:space="preserve">Historical context: As one of the early figures of the Scientific Revolution, Copernicus was applying the principles espoused by Francis Bacon and others calling for rational investigation of the world around us. When the official teachings of the Church and academia did not correspond with Copernicus’ observations of the universe, he worked to formulate a more rational explanation for the movement of the planets and sun.   </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Author’s point of view: Copernicus felt that his new theory was in keeping with the ideas of ancient philosophers and that it served to provide a better understanding of that which God created.</w:t>
      </w:r>
    </w:p>
    <w:p w:rsidR="009A5BA1" w:rsidRPr="006D4968" w:rsidRDefault="009A5BA1" w:rsidP="009A5BA1">
      <w:pPr>
        <w:autoSpaceDE w:val="0"/>
        <w:autoSpaceDN w:val="0"/>
        <w:adjustRightInd w:val="0"/>
        <w:spacing w:after="0" w:line="240" w:lineRule="auto"/>
        <w:rPr>
          <w:rFonts w:ascii="TeeFranklin Md" w:hAnsi="TeeFranklin Md" w:cs="Times New Roman"/>
        </w:rPr>
      </w:pPr>
    </w:p>
    <w:p w:rsidR="009A5BA1" w:rsidRPr="006D4968" w:rsidRDefault="009A5BA1" w:rsidP="009A5BA1">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2</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Source: Cardinal Bellarmine, from a letter to Paolo Antonio </w:t>
      </w:r>
      <w:proofErr w:type="spellStart"/>
      <w:r w:rsidRPr="006D4968">
        <w:rPr>
          <w:rFonts w:ascii="TeeFranklin Md" w:hAnsi="TeeFranklin Md"/>
        </w:rPr>
        <w:t>Foscarini</w:t>
      </w:r>
      <w:proofErr w:type="spellEnd"/>
      <w:r w:rsidRPr="006D4968">
        <w:rPr>
          <w:rFonts w:ascii="TeeFranklin Md" w:hAnsi="TeeFranklin Md"/>
        </w:rPr>
        <w:t>, April 12, 1615, responding to Galileo’s theories</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But to want to affirm that the sun really is fixed in the center of the heavens and only revolves around itself (i.e. turns upon its axis) without traveling from east to west, and that the earth is situated in the third sphere and revolves with great speed around the sun, is a very dangerous thing, not only by irritating all the philosophers and scholastic theologians, but also by injuring our holy faith and rendering the Holy Scriptures false. For Your Reverence has demonstrated many ways of explaining Holy Scripture, but you have not applied them in particular, and without a doubt you would have found it most difficult if you had attempted to explain all the passages which you yourself have cited.</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 . . Now consider whether in all prudence the Church could encourage giving to Scripture a sense contrary to the holy Fathers and all the Latin and Greek commentators. </w:t>
      </w:r>
    </w:p>
    <w:p w:rsidR="009A5BA1" w:rsidRPr="006D4968" w:rsidRDefault="009A5BA1" w:rsidP="009A5BA1">
      <w:pPr>
        <w:ind w:firstLine="720"/>
        <w:rPr>
          <w:rFonts w:ascii="TeeFranklin Md" w:hAnsi="TeeFranklin Md"/>
        </w:rPr>
      </w:pPr>
      <w:r w:rsidRPr="006D4968">
        <w:rPr>
          <w:rFonts w:ascii="TeeFranklin Md" w:hAnsi="TeeFranklin Md"/>
        </w:rPr>
        <w:t>Components of document analysis may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Audience:  Cardinal Bellarmine wrote this letter to </w:t>
      </w:r>
      <w:proofErr w:type="spellStart"/>
      <w:r w:rsidRPr="006D4968">
        <w:rPr>
          <w:rFonts w:ascii="TeeFranklin Md" w:hAnsi="TeeFranklin Md"/>
        </w:rPr>
        <w:t>Foscarini</w:t>
      </w:r>
      <w:proofErr w:type="spellEnd"/>
      <w:r w:rsidRPr="006D4968">
        <w:rPr>
          <w:rFonts w:ascii="TeeFranklin Md" w:hAnsi="TeeFranklin Md"/>
        </w:rPr>
        <w:t>, a priest who supported the views of Copernicus/Galileo.</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Purpose: Bellarmine was warning </w:t>
      </w:r>
      <w:proofErr w:type="spellStart"/>
      <w:r w:rsidRPr="006D4968">
        <w:rPr>
          <w:rFonts w:ascii="TeeFranklin Md" w:hAnsi="TeeFranklin Md"/>
        </w:rPr>
        <w:t>Foscarini</w:t>
      </w:r>
      <w:proofErr w:type="spellEnd"/>
      <w:r w:rsidRPr="006D4968">
        <w:rPr>
          <w:rFonts w:ascii="TeeFranklin Md" w:hAnsi="TeeFranklin Md"/>
        </w:rPr>
        <w:t xml:space="preserve"> of the dangers of continuing to support the views of Galileo.</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Historical context: Galileo’s presentation of evidence and ideas in support of Copernicus’ theories caused outrage among many leading clerics.  This led to open dispute between the Church hierarchy and those clerics and scientists who supported the heliocentric ideal of Galileo and Copernicus rather than the accepted Ptolemaic, geocentric understanding of the universe.  </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Author’s point of view: Bellarmine felt that the issue over the nature of the universe had already been resolved, and that for </w:t>
      </w:r>
      <w:proofErr w:type="spellStart"/>
      <w:r w:rsidRPr="006D4968">
        <w:rPr>
          <w:rFonts w:ascii="TeeFranklin Md" w:hAnsi="TeeFranklin Md"/>
        </w:rPr>
        <w:t>Foscarini</w:t>
      </w:r>
      <w:proofErr w:type="spellEnd"/>
      <w:r w:rsidRPr="006D4968">
        <w:rPr>
          <w:rFonts w:ascii="TeeFranklin Md" w:hAnsi="TeeFranklin Md"/>
        </w:rPr>
        <w:t xml:space="preserve"> to persist in supporting the ideas of Galileo was foolish.</w:t>
      </w:r>
    </w:p>
    <w:p w:rsidR="009A5BA1" w:rsidRPr="006D4968" w:rsidRDefault="009A5BA1" w:rsidP="009A5BA1">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3</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Source: Galileo Galilei, from a letter to Grand Duchess Christina of Tuscany, 1615</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Persisting in their original resolve to destroy me and everything mine by any means they can think of these men are aware of my views in astronomy and philosophy. They know that as to the arrangement of the parts of the universe, I hold the sun to be situated motionless in the center of the revolution of the </w:t>
      </w:r>
      <w:r w:rsidRPr="006D4968">
        <w:rPr>
          <w:rFonts w:ascii="TeeFranklin Md" w:hAnsi="TeeFranklin Md"/>
        </w:rPr>
        <w:lastRenderedPageBreak/>
        <w:t xml:space="preserve">celestial orbs while the earth revolves around the sun. They know also that I support this position not only by refuting the arguments of Ptolemy and Aristotle, but by producing many counter-arguments; in particular, some which relate to physical effects whose causes can perhaps be assigned in no other way. In addition there are astronomical arguments derived from many things in my new celestial discoveries that plainly confute the Ptolemaic system while admirable agreeing with and conforming the contrary hypothesis. Possibly because they are disturbed by the known truth of other propositions of mine which differ from those commonly held, and therefore mistrusting their defense so long as they confine themselves to the field of philosophy, these men have resolved to fabricate a shield for their fallacies out of the mantle of pretended religion and the authority of the Bible. These they apply with little judgment to the refutation [disproving] of arguments that they do not understand and have not even listened to. </w:t>
      </w:r>
    </w:p>
    <w:p w:rsidR="009A5BA1" w:rsidRPr="006D4968" w:rsidRDefault="009A5BA1" w:rsidP="009A5BA1">
      <w:pPr>
        <w:ind w:firstLine="720"/>
        <w:rPr>
          <w:rFonts w:ascii="TeeFranklin Md" w:hAnsi="TeeFranklin Md"/>
        </w:rPr>
      </w:pPr>
      <w:r w:rsidRPr="006D4968">
        <w:rPr>
          <w:rFonts w:ascii="TeeFranklin Md" w:hAnsi="TeeFranklin Md"/>
        </w:rPr>
        <w:t>Components of document analysis may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Audience: Although addressed to Duchess Christina, Galileo’s letter was an open letter intended to be read by all parties interested in the debate over the revolutions of the planets.</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Purpose: Galileo sought to spell out the attacks against him and the irrationality of his opponents’ arguments. </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Historical context: Galileo was responding to pressures from the Church hierarchy and accusations that he was attempting to suggest that he was right and the scriptures were wrong. </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Author’s point of view: Galileo argued that his detractors retreated to scripture as an attempt to refute those scientific ideals which they either did not understand or had not bothered to read. These refutations, he argued, did nothing to address the arguments at hand.</w:t>
      </w:r>
    </w:p>
    <w:p w:rsidR="009A5BA1" w:rsidRPr="006D4968" w:rsidRDefault="009A5BA1" w:rsidP="009A5BA1">
      <w:pPr>
        <w:rPr>
          <w:rFonts w:ascii="TeeFranklin Md" w:hAnsi="TeeFranklin Md"/>
        </w:rPr>
      </w:pPr>
    </w:p>
    <w:p w:rsidR="009A5BA1" w:rsidRPr="006D4968" w:rsidRDefault="009A5BA1" w:rsidP="009A5BA1">
      <w:pPr>
        <w:rPr>
          <w:rFonts w:ascii="TeeFranklin Md" w:hAnsi="TeeFranklin Md"/>
        </w:rPr>
      </w:pPr>
    </w:p>
    <w:p w:rsidR="009A5BA1" w:rsidRPr="006D4968" w:rsidRDefault="009A5BA1" w:rsidP="009A5BA1">
      <w:pPr>
        <w:rPr>
          <w:rFonts w:ascii="TeeFranklin Md" w:hAnsi="TeeFranklin Md"/>
        </w:rPr>
      </w:pPr>
    </w:p>
    <w:p w:rsidR="009A5BA1" w:rsidRDefault="009A5BA1" w:rsidP="009A5BA1">
      <w:pPr>
        <w:rPr>
          <w:rFonts w:ascii="TeeFranklin Md" w:hAnsi="TeeFranklin Md"/>
        </w:rPr>
      </w:pPr>
    </w:p>
    <w:p w:rsidR="009A5BA1" w:rsidRDefault="009A5BA1" w:rsidP="009A5BA1">
      <w:pPr>
        <w:rPr>
          <w:rFonts w:ascii="TeeFranklin Md" w:hAnsi="TeeFranklin Md"/>
        </w:rPr>
      </w:pPr>
    </w:p>
    <w:p w:rsidR="009A5BA1" w:rsidRPr="006D4968" w:rsidRDefault="009A5BA1" w:rsidP="009A5BA1">
      <w:pPr>
        <w:rPr>
          <w:rFonts w:ascii="TeeFranklin Md" w:hAnsi="TeeFranklin Md"/>
        </w:rPr>
      </w:pPr>
    </w:p>
    <w:p w:rsidR="009A5BA1" w:rsidRPr="006D4968" w:rsidRDefault="009A5BA1" w:rsidP="009A5BA1">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4</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Source: Sir Isaac Newton, </w:t>
      </w:r>
      <w:r w:rsidRPr="006D4968">
        <w:rPr>
          <w:rFonts w:ascii="TeeFranklin Md" w:hAnsi="TeeFranklin Md"/>
          <w:i/>
        </w:rPr>
        <w:t>Mathematical Principles of Natural Philosophy</w:t>
      </w:r>
      <w:r w:rsidRPr="006D4968">
        <w:rPr>
          <w:rFonts w:ascii="TeeFranklin Md" w:hAnsi="TeeFranklin Md"/>
        </w:rPr>
        <w:t xml:space="preserve"> (</w:t>
      </w:r>
      <w:r w:rsidRPr="006D4968">
        <w:rPr>
          <w:rFonts w:ascii="TeeFranklin Md" w:hAnsi="TeeFranklin Md"/>
          <w:i/>
        </w:rPr>
        <w:t xml:space="preserve">Principia) </w:t>
      </w:r>
      <w:r w:rsidRPr="006D4968">
        <w:rPr>
          <w:rFonts w:ascii="TeeFranklin Md" w:hAnsi="TeeFranklin Md"/>
        </w:rPr>
        <w:t>1687.</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Thus far I have explained the phenomena of the heavens and of our sea by the force of gravity, but I have not yet assigned a cause to gravity. Indeed, this force arises from some cause that penetrates as far as the centers of the sun and planets without any diminution of its power to act, and that acts not in proportion to the quantity of the surfaces of the particles on which it acts (as mechanical causes are wont to do) but in proportion to the quantity of solid matter, and whose action is extended everywhere to immense distances, always decreasing as the squares of the distances.</w:t>
      </w:r>
    </w:p>
    <w:p w:rsidR="009A5BA1" w:rsidRPr="006D4968" w:rsidRDefault="009A5BA1" w:rsidP="009A5BA1">
      <w:pPr>
        <w:ind w:firstLine="720"/>
        <w:rPr>
          <w:rFonts w:ascii="TeeFranklin Md" w:hAnsi="TeeFranklin Md"/>
        </w:rPr>
      </w:pPr>
      <w:r w:rsidRPr="006D4968">
        <w:rPr>
          <w:rFonts w:ascii="TeeFranklin Md" w:hAnsi="TeeFranklin Md"/>
        </w:rPr>
        <w:t>Components of document analysis may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lastRenderedPageBreak/>
        <w:t>Audience: Newton’s work was intended for other philosophers, astronomers and scholars. However, it may have been read by other members of the educated elites of the time period.</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Purpose: Newton attempted to spell out his new theory of gravity as a unifying force that made it possible to attempt a single set of physical laws that would help to explain the motions of the heavens and earth.</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Historical context: Newton was attempting to find a means to reconcile the earlier ideas of thinkers such as Copernicus, Kepler, and Galileo. He wanted to unite advances in astronomy and physics into a single understanding of the universe.</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Author’s point of view: Newton explained gravity as a force that acts on all matter in the universe in relation to the size and distance between objects.</w:t>
      </w:r>
    </w:p>
    <w:p w:rsidR="009A5BA1" w:rsidRPr="006D4968" w:rsidRDefault="009A5BA1" w:rsidP="009A5BA1">
      <w:pPr>
        <w:jc w:val="center"/>
        <w:rPr>
          <w:rFonts w:ascii="TeeFranklin Md" w:hAnsi="TeeFranklin Md"/>
          <w:b/>
        </w:rPr>
      </w:pPr>
    </w:p>
    <w:p w:rsidR="009A5BA1" w:rsidRPr="006D4968" w:rsidRDefault="009A5BA1" w:rsidP="009A5BA1">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5</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Source: Galen, ancient Greek physician, </w:t>
      </w:r>
      <w:r w:rsidRPr="006D4968">
        <w:rPr>
          <w:rFonts w:ascii="TeeFranklin Md" w:hAnsi="TeeFranklin Md"/>
          <w:i/>
        </w:rPr>
        <w:t>On the Natural Faculties</w:t>
      </w:r>
      <w:r w:rsidRPr="006D4968">
        <w:rPr>
          <w:rFonts w:ascii="TeeFranklin Md" w:hAnsi="TeeFranklin Md"/>
        </w:rPr>
        <w:t>, second century A.D.</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In this way, nobody will suppose that bread represents a kind of meeting-place for bone, flesh. Nerve, and all the other parts, and that each of these subsequently become separated in the body and goes to join its own kind; before any separation takes place, the whole of the bread obviously becomes blood; (at any rate, if a man take no other food for a prolonged period, he will have blood enclosed in his veins all the same).* And clearly this disproves the view of those who consider the elements unchangeable, as also, for that matter, does the oil which is entirely used up in the flame of the lamp. . . .</w:t>
      </w:r>
    </w:p>
    <w:p w:rsidR="009A5BA1" w:rsidRPr="006D4968" w:rsidRDefault="009A5BA1" w:rsidP="009A5BA1">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Galen believed that food from the alimentary canal was converted into blood in and by the portal veins.</w:t>
      </w:r>
    </w:p>
    <w:p w:rsidR="009A5BA1" w:rsidRPr="006D4968" w:rsidRDefault="009A5BA1" w:rsidP="009A5BA1">
      <w:pPr>
        <w:ind w:firstLine="720"/>
        <w:rPr>
          <w:rFonts w:ascii="TeeFranklin Md" w:hAnsi="TeeFranklin Md"/>
        </w:rPr>
      </w:pPr>
    </w:p>
    <w:p w:rsidR="009A5BA1" w:rsidRPr="006D4968" w:rsidRDefault="009A5BA1" w:rsidP="009A5BA1">
      <w:pPr>
        <w:ind w:firstLine="720"/>
        <w:rPr>
          <w:rFonts w:ascii="TeeFranklin Md" w:hAnsi="TeeFranklin Md"/>
        </w:rPr>
      </w:pPr>
      <w:r w:rsidRPr="006D4968">
        <w:rPr>
          <w:rFonts w:ascii="TeeFranklin Md" w:hAnsi="TeeFranklin Md"/>
        </w:rPr>
        <w:t>Components of document analysis may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Audience: Galen wrote his work as instruction for future physicians and as a philosophical tract for debate with other philosophers about nature and the human body.</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Purpose: Galen attempted to explain the processes of digestion and blood circulation.</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Historical context: Galen was writing in the second century, but his works would be the foundation of medical knowledge for well over a thousand years.</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Author’s point of view: Galen believed that the body separated the components of food by turning food into blood which then would separate itself in the veins to become component parts. </w:t>
      </w:r>
    </w:p>
    <w:p w:rsidR="009A5BA1" w:rsidRPr="006D4968" w:rsidRDefault="009A5BA1" w:rsidP="009A5BA1">
      <w:pPr>
        <w:rPr>
          <w:rFonts w:ascii="TeeFranklin Md" w:hAnsi="TeeFranklin Md"/>
        </w:rPr>
      </w:pPr>
    </w:p>
    <w:p w:rsidR="009A5BA1" w:rsidRPr="006D4968" w:rsidRDefault="009A5BA1" w:rsidP="009A5BA1">
      <w:pPr>
        <w:pBdr>
          <w:top w:val="single" w:sz="4" w:space="2"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6</w:t>
      </w:r>
    </w:p>
    <w:p w:rsidR="009A5BA1" w:rsidRPr="006D4968" w:rsidRDefault="009A5BA1" w:rsidP="009A5BA1">
      <w:pPr>
        <w:pBdr>
          <w:top w:val="single" w:sz="4" w:space="2"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Source: Robert Boyle describing a conversation with William Harvey when Boyle asked Harvey what made him think that blood circulated, Robert Boyle, </w:t>
      </w:r>
      <w:r w:rsidRPr="006D4968">
        <w:rPr>
          <w:rFonts w:ascii="TeeFranklin Md" w:hAnsi="TeeFranklin Md"/>
          <w:i/>
        </w:rPr>
        <w:t xml:space="preserve">A Disquisition about the Final Causes of Natural Things. </w:t>
      </w:r>
      <w:r w:rsidRPr="006D4968">
        <w:rPr>
          <w:rFonts w:ascii="TeeFranklin Md" w:hAnsi="TeeFranklin Md"/>
        </w:rPr>
        <w:t>London</w:t>
      </w:r>
      <w:proofErr w:type="gramStart"/>
      <w:r w:rsidRPr="006D4968">
        <w:rPr>
          <w:rFonts w:ascii="TeeFranklin Md" w:hAnsi="TeeFranklin Md"/>
        </w:rPr>
        <w:t>,1688</w:t>
      </w:r>
      <w:proofErr w:type="gramEnd"/>
      <w:r w:rsidRPr="006D4968">
        <w:rPr>
          <w:rFonts w:ascii="TeeFranklin Md" w:hAnsi="TeeFranklin Md"/>
        </w:rPr>
        <w:t>.</w:t>
      </w:r>
    </w:p>
    <w:p w:rsidR="009A5BA1" w:rsidRPr="006D4968" w:rsidRDefault="009A5BA1" w:rsidP="009A5BA1">
      <w:pPr>
        <w:pStyle w:val="NormalWeb"/>
        <w:pBdr>
          <w:top w:val="single" w:sz="4" w:space="2" w:color="auto"/>
          <w:left w:val="single" w:sz="4" w:space="4" w:color="auto"/>
          <w:bottom w:val="single" w:sz="4" w:space="1" w:color="auto"/>
          <w:right w:val="single" w:sz="4" w:space="4" w:color="auto"/>
        </w:pBdr>
        <w:shd w:val="clear" w:color="auto" w:fill="FFFFFF"/>
        <w:spacing w:before="0" w:beforeAutospacing="0" w:after="0" w:afterAutospacing="0" w:line="276" w:lineRule="auto"/>
        <w:textAlignment w:val="baseline"/>
        <w:rPr>
          <w:rFonts w:ascii="TeeFranklin Md" w:eastAsiaTheme="minorHAnsi" w:hAnsi="TeeFranklin Md" w:cstheme="minorBidi"/>
          <w:sz w:val="22"/>
          <w:szCs w:val="22"/>
        </w:rPr>
      </w:pPr>
      <w:r w:rsidRPr="006D4968">
        <w:rPr>
          <w:rFonts w:ascii="TeeFranklin Md" w:eastAsiaTheme="minorHAnsi" w:hAnsi="TeeFranklin Md" w:cstheme="minorBidi"/>
          <w:sz w:val="22"/>
          <w:szCs w:val="22"/>
        </w:rPr>
        <w:lastRenderedPageBreak/>
        <w:t xml:space="preserve">...that when he took notice the Valves in the Veins of so many several parts of the body, were so </w:t>
      </w:r>
      <w:proofErr w:type="spellStart"/>
      <w:r w:rsidRPr="006D4968">
        <w:rPr>
          <w:rFonts w:ascii="TeeFranklin Md" w:eastAsiaTheme="minorHAnsi" w:hAnsi="TeeFranklin Md" w:cstheme="minorBidi"/>
          <w:sz w:val="22"/>
          <w:szCs w:val="22"/>
        </w:rPr>
        <w:t>plac’d</w:t>
      </w:r>
      <w:proofErr w:type="spellEnd"/>
      <w:r w:rsidRPr="006D4968">
        <w:rPr>
          <w:rFonts w:ascii="TeeFranklin Md" w:eastAsiaTheme="minorHAnsi" w:hAnsi="TeeFranklin Md" w:cstheme="minorBidi"/>
          <w:sz w:val="22"/>
          <w:szCs w:val="22"/>
        </w:rPr>
        <w:t xml:space="preserve"> that they gave free passage to the Blood Towards the Heart, but </w:t>
      </w:r>
      <w:proofErr w:type="spellStart"/>
      <w:r w:rsidRPr="006D4968">
        <w:rPr>
          <w:rFonts w:ascii="TeeFranklin Md" w:eastAsiaTheme="minorHAnsi" w:hAnsi="TeeFranklin Md" w:cstheme="minorBidi"/>
          <w:sz w:val="22"/>
          <w:szCs w:val="22"/>
        </w:rPr>
        <w:t>oppos’d</w:t>
      </w:r>
      <w:proofErr w:type="spellEnd"/>
      <w:r w:rsidRPr="006D4968">
        <w:rPr>
          <w:rFonts w:ascii="TeeFranklin Md" w:eastAsiaTheme="minorHAnsi" w:hAnsi="TeeFranklin Md" w:cstheme="minorBidi"/>
          <w:sz w:val="22"/>
          <w:szCs w:val="22"/>
        </w:rPr>
        <w:t xml:space="preserve"> the passage of the Venal blood the Contrary way: He was invited to imagine that so Provident a Cause as Nature had not so </w:t>
      </w:r>
      <w:proofErr w:type="spellStart"/>
      <w:r w:rsidRPr="006D4968">
        <w:rPr>
          <w:rFonts w:ascii="TeeFranklin Md" w:eastAsiaTheme="minorHAnsi" w:hAnsi="TeeFranklin Md" w:cstheme="minorBidi"/>
          <w:sz w:val="22"/>
          <w:szCs w:val="22"/>
        </w:rPr>
        <w:t>Plac’d</w:t>
      </w:r>
      <w:proofErr w:type="spellEnd"/>
      <w:r w:rsidRPr="006D4968">
        <w:rPr>
          <w:rFonts w:ascii="TeeFranklin Md" w:eastAsiaTheme="minorHAnsi" w:hAnsi="TeeFranklin Md" w:cstheme="minorBidi"/>
          <w:sz w:val="22"/>
          <w:szCs w:val="22"/>
        </w:rPr>
        <w:t xml:space="preserve"> so many Valves without Design: and no Design </w:t>
      </w:r>
      <w:proofErr w:type="spellStart"/>
      <w:r w:rsidRPr="006D4968">
        <w:rPr>
          <w:rFonts w:ascii="TeeFranklin Md" w:eastAsiaTheme="minorHAnsi" w:hAnsi="TeeFranklin Md" w:cstheme="minorBidi"/>
          <w:sz w:val="22"/>
          <w:szCs w:val="22"/>
        </w:rPr>
        <w:t>seem’d</w:t>
      </w:r>
      <w:proofErr w:type="spellEnd"/>
      <w:r w:rsidRPr="006D4968">
        <w:rPr>
          <w:rFonts w:ascii="TeeFranklin Md" w:eastAsiaTheme="minorHAnsi" w:hAnsi="TeeFranklin Md" w:cstheme="minorBidi"/>
          <w:sz w:val="22"/>
          <w:szCs w:val="22"/>
        </w:rPr>
        <w:t xml:space="preserve"> more probable, than That, since the Blood could not well, because of the interposing Valves, be Sent by the Veins to the Limbs; it should be Sent through the Arteries and Return though the Veins, whose Valves did not oppose its course that way.</w:t>
      </w:r>
    </w:p>
    <w:p w:rsidR="009A5BA1" w:rsidRPr="006D4968" w:rsidRDefault="009A5BA1" w:rsidP="009A5BA1">
      <w:pPr>
        <w:spacing w:after="0" w:line="240" w:lineRule="auto"/>
        <w:rPr>
          <w:rFonts w:ascii="TeeFranklin Md" w:eastAsia="Times New Roman" w:hAnsi="TeeFranklin Md" w:cs="Times New Roman"/>
        </w:rPr>
      </w:pPr>
      <w:r w:rsidRPr="006D4968">
        <w:rPr>
          <w:rFonts w:ascii="TeeFranklin Md" w:eastAsia="Times New Roman" w:hAnsi="TeeFranklin Md" w:cs="Helvetica"/>
          <w:color w:val="000000"/>
          <w:shd w:val="clear" w:color="auto" w:fill="FFFFFF"/>
        </w:rPr>
        <w:t> </w:t>
      </w:r>
    </w:p>
    <w:p w:rsidR="009A5BA1" w:rsidRPr="006D4968" w:rsidRDefault="009A5BA1" w:rsidP="009A5BA1">
      <w:pPr>
        <w:ind w:firstLine="720"/>
        <w:rPr>
          <w:rFonts w:ascii="TeeFranklin Md" w:hAnsi="TeeFranklin Md"/>
        </w:rPr>
      </w:pPr>
      <w:r w:rsidRPr="006D4968">
        <w:rPr>
          <w:rFonts w:ascii="TeeFranklin Md" w:hAnsi="TeeFranklin Md"/>
        </w:rPr>
        <w:t>Components of document analysis may include the following:</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Audience: Boyle’s work was intended primarily for other scientists and philosophers.</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Purpose: Boyle was attempting to explain Harvey’s observations about the circulation of the blood.</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Historical context: As Copernicus and Galileo called into question ideas about the orbits of the planets, others such as Boyle and Harvey began to examine long-held conceptions about the nature of the body and physical world.</w:t>
      </w:r>
    </w:p>
    <w:p w:rsidR="009A5BA1" w:rsidRPr="006D4968" w:rsidRDefault="009A5BA1" w:rsidP="009A5BA1">
      <w:pPr>
        <w:pStyle w:val="ListParagraph"/>
        <w:numPr>
          <w:ilvl w:val="0"/>
          <w:numId w:val="1"/>
        </w:numPr>
        <w:rPr>
          <w:rFonts w:ascii="TeeFranklin Md" w:hAnsi="TeeFranklin Md"/>
        </w:rPr>
      </w:pPr>
      <w:r w:rsidRPr="006D4968">
        <w:rPr>
          <w:rFonts w:ascii="TeeFranklin Md" w:hAnsi="TeeFranklin Md"/>
        </w:rPr>
        <w:t xml:space="preserve">Author’s point of view: Boyle pointed to the rational understanding of blood flow as an example of applying logical principles to the understanding of nature. </w:t>
      </w:r>
    </w:p>
    <w:p w:rsidR="009A5BA1" w:rsidRPr="006D4968" w:rsidRDefault="009A5BA1" w:rsidP="009A5BA1">
      <w:pPr>
        <w:rPr>
          <w:rFonts w:ascii="TeeFranklin Md" w:hAnsi="TeeFranklin Md"/>
          <w:b/>
        </w:rPr>
      </w:pPr>
    </w:p>
    <w:p w:rsidR="009A5BA1" w:rsidRPr="006D4968" w:rsidRDefault="009A5BA1" w:rsidP="009A5BA1">
      <w:pPr>
        <w:rPr>
          <w:rFonts w:ascii="TeeFranklin Md" w:hAnsi="TeeFranklin Md"/>
          <w:b/>
        </w:rPr>
      </w:pPr>
    </w:p>
    <w:p w:rsidR="009A5BA1" w:rsidRDefault="009A5BA1" w:rsidP="009A5BA1">
      <w:pPr>
        <w:rPr>
          <w:rFonts w:ascii="TeeFranklin Md" w:hAnsi="TeeFranklin Md"/>
          <w:b/>
        </w:rPr>
      </w:pPr>
    </w:p>
    <w:p w:rsidR="009A5BA1" w:rsidRDefault="009A5BA1" w:rsidP="009A5BA1">
      <w:pPr>
        <w:rPr>
          <w:rFonts w:ascii="TeeFranklin Md" w:hAnsi="TeeFranklin Md"/>
          <w:b/>
        </w:rPr>
      </w:pPr>
    </w:p>
    <w:p w:rsidR="009A5BA1" w:rsidRPr="007F2F8D" w:rsidRDefault="009A5BA1" w:rsidP="009A5BA1">
      <w:pPr>
        <w:rPr>
          <w:rFonts w:ascii="TeeFranklin Md" w:hAnsi="TeeFranklin Md"/>
          <w:b/>
          <w:sz w:val="24"/>
          <w:szCs w:val="24"/>
        </w:rPr>
      </w:pPr>
      <w:r w:rsidRPr="007F2F8D">
        <w:rPr>
          <w:rFonts w:ascii="TeeFranklin Md" w:hAnsi="TeeFranklin Md"/>
          <w:b/>
          <w:sz w:val="24"/>
          <w:szCs w:val="24"/>
        </w:rPr>
        <w:t>Analysis of outside examples to support thesis/argument</w:t>
      </w:r>
    </w:p>
    <w:p w:rsidR="009A5BA1" w:rsidRPr="006D4968" w:rsidRDefault="009A5BA1" w:rsidP="009A5BA1">
      <w:pPr>
        <w:rPr>
          <w:rFonts w:ascii="TeeFranklin Md" w:hAnsi="TeeFranklin Md"/>
        </w:rPr>
      </w:pPr>
      <w:r w:rsidRPr="006D4968">
        <w:rPr>
          <w:rFonts w:ascii="TeeFranklin Md" w:hAnsi="TeeFranklin Md"/>
        </w:rPr>
        <w:t>Possible examples of information not found in the documents that could be used to support the stated thesis or a relevant argument could include the following:</w:t>
      </w:r>
    </w:p>
    <w:p w:rsidR="009A5BA1" w:rsidRPr="006D4968" w:rsidRDefault="009A5BA1" w:rsidP="009A5BA1">
      <w:pPr>
        <w:pStyle w:val="ListParagraph"/>
        <w:numPr>
          <w:ilvl w:val="0"/>
          <w:numId w:val="2"/>
        </w:numPr>
        <w:rPr>
          <w:rFonts w:ascii="TeeFranklin Md" w:hAnsi="TeeFranklin Md"/>
        </w:rPr>
      </w:pPr>
      <w:r w:rsidRPr="006D4968">
        <w:rPr>
          <w:rFonts w:ascii="TeeFranklin Md" w:hAnsi="TeeFranklin Md"/>
        </w:rPr>
        <w:t xml:space="preserve">Ancient philosophers with whom the Scientific Revolution </w:t>
      </w:r>
      <w:r>
        <w:rPr>
          <w:rFonts w:ascii="TeeFranklin Md" w:hAnsi="TeeFranklin Md"/>
        </w:rPr>
        <w:t xml:space="preserve">was </w:t>
      </w:r>
      <w:r w:rsidRPr="006D4968">
        <w:rPr>
          <w:rFonts w:ascii="TeeFranklin Md" w:hAnsi="TeeFranklin Md"/>
        </w:rPr>
        <w:t>split over fundamental understanding of the world</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 xml:space="preserve">Ptolemy’s </w:t>
      </w:r>
      <w:proofErr w:type="gramStart"/>
      <w:r w:rsidRPr="006D4968">
        <w:rPr>
          <w:rFonts w:ascii="TeeFranklin Md" w:hAnsi="TeeFranklin Md"/>
        </w:rPr>
        <w:t>Geocentric</w:t>
      </w:r>
      <w:proofErr w:type="gramEnd"/>
      <w:r w:rsidRPr="006D4968">
        <w:rPr>
          <w:rFonts w:ascii="TeeFranklin Md" w:hAnsi="TeeFranklin Md"/>
        </w:rPr>
        <w:t xml:space="preserve"> theory placed the Earth at the center of the Universe and was the primary target for astronomers’ refutation.</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Aristotle’s concepts of the nature of matter were the basis of understanding the world around us for well over a thousand years.</w:t>
      </w:r>
    </w:p>
    <w:p w:rsidR="009A5BA1" w:rsidRPr="006D4968" w:rsidRDefault="009A5BA1" w:rsidP="009A5BA1">
      <w:pPr>
        <w:pStyle w:val="ListParagraph"/>
        <w:numPr>
          <w:ilvl w:val="1"/>
          <w:numId w:val="2"/>
        </w:numPr>
        <w:rPr>
          <w:rFonts w:ascii="TeeFranklin Md" w:hAnsi="TeeFranklin Md"/>
        </w:rPr>
      </w:pPr>
      <w:proofErr w:type="spellStart"/>
      <w:r w:rsidRPr="006D4968">
        <w:rPr>
          <w:rFonts w:ascii="TeeFranklin Md" w:hAnsi="TeeFranklin Md"/>
        </w:rPr>
        <w:t>Hippocratus</w:t>
      </w:r>
      <w:proofErr w:type="spellEnd"/>
      <w:r w:rsidRPr="006D4968">
        <w:rPr>
          <w:rFonts w:ascii="TeeFranklin Md" w:hAnsi="TeeFranklin Md"/>
        </w:rPr>
        <w:t>’ ideas about the Four Humors that regulated the well-being of the body w</w:t>
      </w:r>
      <w:r>
        <w:rPr>
          <w:rFonts w:ascii="TeeFranklin Md" w:hAnsi="TeeFranklin Md"/>
        </w:rPr>
        <w:t>ere</w:t>
      </w:r>
      <w:r w:rsidRPr="006D4968">
        <w:rPr>
          <w:rFonts w:ascii="TeeFranklin Md" w:hAnsi="TeeFranklin Md"/>
        </w:rPr>
        <w:t xml:space="preserve"> the foundation of medical treatment and the justification for the common practice of “bleeding” patients.</w:t>
      </w:r>
    </w:p>
    <w:p w:rsidR="009A5BA1" w:rsidRPr="006D4968" w:rsidRDefault="009A5BA1" w:rsidP="009A5BA1">
      <w:pPr>
        <w:pStyle w:val="ListParagraph"/>
        <w:numPr>
          <w:ilvl w:val="0"/>
          <w:numId w:val="2"/>
        </w:numPr>
        <w:rPr>
          <w:rFonts w:ascii="TeeFranklin Md" w:hAnsi="TeeFranklin Md"/>
        </w:rPr>
      </w:pPr>
      <w:r w:rsidRPr="006D4968">
        <w:rPr>
          <w:rFonts w:ascii="TeeFranklin Md" w:hAnsi="TeeFranklin Md"/>
        </w:rPr>
        <w:t>Church doctrine, based upon the works of Ptolemy and Aristotle</w:t>
      </w:r>
      <w:r>
        <w:rPr>
          <w:rFonts w:ascii="TeeFranklin Md" w:hAnsi="TeeFranklin Md"/>
        </w:rPr>
        <w:t>,</w:t>
      </w:r>
      <w:r w:rsidRPr="006D4968">
        <w:rPr>
          <w:rFonts w:ascii="TeeFranklin Md" w:hAnsi="TeeFranklin Md"/>
        </w:rPr>
        <w:t xml:space="preserve"> with which scientists disagreed</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The Earth was the center of the universe with all heavenly bodies revolving around it.</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The Earth was composed of corrupt matter while the Heavens were pure matter.</w:t>
      </w:r>
    </w:p>
    <w:p w:rsidR="009A5BA1" w:rsidRPr="006D4968" w:rsidRDefault="009A5BA1" w:rsidP="009A5BA1">
      <w:pPr>
        <w:pStyle w:val="ListParagraph"/>
        <w:numPr>
          <w:ilvl w:val="0"/>
          <w:numId w:val="2"/>
        </w:numPr>
        <w:rPr>
          <w:rFonts w:ascii="TeeFranklin Md" w:hAnsi="TeeFranklin Md"/>
        </w:rPr>
      </w:pPr>
      <w:r w:rsidRPr="006D4968">
        <w:rPr>
          <w:rFonts w:ascii="TeeFranklin Md" w:hAnsi="TeeFranklin Md"/>
        </w:rPr>
        <w:t>Ancient philosophers and leaders of the Scientific Revolution and their achievements that aided  later research</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lastRenderedPageBreak/>
        <w:t>Eratosthenes and other Hellenistic Greek philosophers had made accurate calculations about the revolutions of the Earth and planets in contradiction of Ptolemy’s ideas.</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Francis Bacon spelled out the ideals of empiricism and laid the foundations for the Scientific Method.</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Rene Descartes espoused the importance of rationalism in experimentation and knowledge.</w:t>
      </w:r>
    </w:p>
    <w:p w:rsidR="009A5BA1" w:rsidRPr="006D4968" w:rsidRDefault="009A5BA1" w:rsidP="009A5BA1">
      <w:pPr>
        <w:pStyle w:val="ListParagraph"/>
        <w:numPr>
          <w:ilvl w:val="1"/>
          <w:numId w:val="2"/>
        </w:numPr>
        <w:rPr>
          <w:rFonts w:ascii="TeeFranklin Md" w:hAnsi="TeeFranklin Md"/>
        </w:rPr>
      </w:pPr>
      <w:proofErr w:type="spellStart"/>
      <w:r w:rsidRPr="006D4968">
        <w:rPr>
          <w:rFonts w:ascii="TeeFranklin Md" w:hAnsi="TeeFranklin Md"/>
        </w:rPr>
        <w:t>Tycho</w:t>
      </w:r>
      <w:proofErr w:type="spellEnd"/>
      <w:r w:rsidRPr="006D4968">
        <w:rPr>
          <w:rFonts w:ascii="TeeFranklin Md" w:hAnsi="TeeFranklin Md"/>
        </w:rPr>
        <w:t xml:space="preserve"> Brahe and Johannes Kepler compiled enormous amounts of astronomical data which supported conceptions of the universe put forward by Copernicus.</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Vesalius’ work in anatomy relied upon the dissection of human cadavers, as did Harvey’s, which conflicted with official Church policy but provided a greater understanding of the working of the body.</w:t>
      </w:r>
    </w:p>
    <w:p w:rsidR="009A5BA1" w:rsidRPr="006D4968" w:rsidRDefault="009A5BA1" w:rsidP="009A5BA1">
      <w:pPr>
        <w:pStyle w:val="ListParagraph"/>
        <w:numPr>
          <w:ilvl w:val="1"/>
          <w:numId w:val="2"/>
        </w:numPr>
        <w:rPr>
          <w:rFonts w:ascii="TeeFranklin Md" w:hAnsi="TeeFranklin Md"/>
        </w:rPr>
      </w:pPr>
      <w:r w:rsidRPr="006D4968">
        <w:rPr>
          <w:rFonts w:ascii="TeeFranklin Md" w:hAnsi="TeeFranklin Md"/>
        </w:rPr>
        <w:t>Anton van Leeuwenhoek’s work with microscopes laid the foundations for later work in biology and chemistry.</w:t>
      </w:r>
    </w:p>
    <w:p w:rsidR="009A5BA1" w:rsidRPr="007F2F8D" w:rsidRDefault="009A5BA1" w:rsidP="009A5BA1">
      <w:pPr>
        <w:rPr>
          <w:rFonts w:ascii="TeeFranklin Md" w:hAnsi="TeeFranklin Md"/>
          <w:sz w:val="24"/>
          <w:szCs w:val="24"/>
        </w:rPr>
      </w:pPr>
      <w:r w:rsidRPr="007F2F8D">
        <w:rPr>
          <w:rFonts w:ascii="TeeFranklin Md" w:hAnsi="TeeFranklin Md"/>
          <w:b/>
          <w:sz w:val="24"/>
          <w:szCs w:val="24"/>
        </w:rPr>
        <w:t>Contextualization</w:t>
      </w:r>
    </w:p>
    <w:p w:rsidR="009A5BA1" w:rsidRPr="006D4968" w:rsidRDefault="009A5BA1" w:rsidP="009A5BA1">
      <w:pPr>
        <w:rPr>
          <w:rFonts w:ascii="TeeFranklin Md" w:hAnsi="TeeFranklin Md"/>
        </w:rPr>
      </w:pPr>
      <w:r w:rsidRPr="006D4968">
        <w:rPr>
          <w:rFonts w:ascii="TeeFranklin Md" w:hAnsi="TeeFranklin Md"/>
        </w:rPr>
        <w:t>Students can earn a point for contextualization by accurately and explicitly connecting historical phenomena relevant to the argument to broader historical events and/or processes. These historical phenomena may include, but are not limited to, the following:</w:t>
      </w:r>
    </w:p>
    <w:p w:rsidR="009A5BA1" w:rsidRPr="006D4968" w:rsidRDefault="009A5BA1" w:rsidP="009A5BA1">
      <w:pPr>
        <w:pStyle w:val="ListParagraph"/>
        <w:numPr>
          <w:ilvl w:val="0"/>
          <w:numId w:val="3"/>
        </w:numPr>
        <w:rPr>
          <w:rFonts w:ascii="TeeFranklin Md" w:hAnsi="TeeFranklin Md"/>
        </w:rPr>
      </w:pPr>
      <w:r w:rsidRPr="006D4968">
        <w:rPr>
          <w:rFonts w:ascii="TeeFranklin Md" w:hAnsi="TeeFranklin Md"/>
        </w:rPr>
        <w:t>The Protestant Reformation already had called into question the authority of the Church hierarchy before the Scientific Revolution ignited.</w:t>
      </w:r>
    </w:p>
    <w:p w:rsidR="009A5BA1" w:rsidRPr="006D4968" w:rsidRDefault="009A5BA1" w:rsidP="009A5BA1">
      <w:pPr>
        <w:pStyle w:val="ListParagraph"/>
        <w:numPr>
          <w:ilvl w:val="1"/>
          <w:numId w:val="3"/>
        </w:numPr>
        <w:rPr>
          <w:rFonts w:ascii="TeeFranklin Md" w:hAnsi="TeeFranklin Md"/>
        </w:rPr>
      </w:pPr>
      <w:r w:rsidRPr="006D4968">
        <w:rPr>
          <w:rFonts w:ascii="TeeFranklin Md" w:hAnsi="TeeFranklin Md"/>
        </w:rPr>
        <w:t xml:space="preserve">The weakening of Catholic and </w:t>
      </w:r>
      <w:r>
        <w:rPr>
          <w:rFonts w:ascii="TeeFranklin Md" w:hAnsi="TeeFranklin Md"/>
        </w:rPr>
        <w:t>p</w:t>
      </w:r>
      <w:r w:rsidRPr="006D4968">
        <w:rPr>
          <w:rFonts w:ascii="TeeFranklin Md" w:hAnsi="TeeFranklin Md"/>
        </w:rPr>
        <w:t>apal authority in Europe provided greater opportunity for philosophers and scientists to break with official Church doctrine, a move for which they would have found little support prior to Luther’s reforms.</w:t>
      </w:r>
    </w:p>
    <w:p w:rsidR="009A5BA1" w:rsidRPr="006D4968" w:rsidRDefault="009A5BA1" w:rsidP="009A5BA1">
      <w:pPr>
        <w:pStyle w:val="ListParagraph"/>
        <w:numPr>
          <w:ilvl w:val="0"/>
          <w:numId w:val="3"/>
        </w:numPr>
        <w:rPr>
          <w:rFonts w:ascii="TeeFranklin Md" w:hAnsi="TeeFranklin Md"/>
        </w:rPr>
      </w:pPr>
      <w:r w:rsidRPr="006D4968">
        <w:rPr>
          <w:rFonts w:ascii="TeeFranklin Md" w:hAnsi="TeeFranklin Md"/>
        </w:rPr>
        <w:t>The rediscovery of ancient knowledge and rebirth of secular higher education in the Renaissance were the keys to igniting the Scientific Revolution.</w:t>
      </w:r>
    </w:p>
    <w:p w:rsidR="009A5BA1" w:rsidRPr="007F2F8D" w:rsidRDefault="009A5BA1" w:rsidP="009A5BA1">
      <w:pPr>
        <w:rPr>
          <w:rFonts w:ascii="TeeFranklin Md" w:hAnsi="TeeFranklin Md"/>
          <w:b/>
          <w:sz w:val="24"/>
          <w:szCs w:val="24"/>
        </w:rPr>
      </w:pPr>
      <w:r w:rsidRPr="007F2F8D">
        <w:rPr>
          <w:rFonts w:ascii="TeeFranklin Md" w:hAnsi="TeeFranklin Md"/>
          <w:b/>
          <w:sz w:val="24"/>
          <w:szCs w:val="24"/>
        </w:rPr>
        <w:t>Synthesis</w:t>
      </w:r>
    </w:p>
    <w:p w:rsidR="009A5BA1" w:rsidRPr="006D4968" w:rsidRDefault="009A5BA1" w:rsidP="009A5BA1">
      <w:pPr>
        <w:rPr>
          <w:rFonts w:ascii="TeeFranklin Md" w:hAnsi="TeeFranklin Md"/>
        </w:rPr>
      </w:pPr>
      <w:r w:rsidRPr="006D4968">
        <w:rPr>
          <w:rFonts w:ascii="TeeFranklin Md" w:hAnsi="TeeFranklin Md"/>
        </w:rPr>
        <w:t>Students can earn the point for synthesis by crafting a persuasive and coherent essay. This can be accomplished by providing a conclusion that extends or modifies the analysis in the essay, by using disparate and sometimes contradictory evidence from primary and/or secondary sources to craft a coherent argument, or by connecting to another historical period or context. Examples could include, but are not limited to, the following:</w:t>
      </w:r>
    </w:p>
    <w:p w:rsidR="009A5BA1" w:rsidRPr="006D4968" w:rsidRDefault="009A5BA1" w:rsidP="009A5BA1">
      <w:pPr>
        <w:pStyle w:val="ListParagraph"/>
        <w:numPr>
          <w:ilvl w:val="0"/>
          <w:numId w:val="4"/>
        </w:numPr>
        <w:rPr>
          <w:rFonts w:ascii="TeeFranklin Md" w:hAnsi="TeeFranklin Md"/>
        </w:rPr>
      </w:pPr>
      <w:r w:rsidRPr="006D4968">
        <w:rPr>
          <w:rFonts w:ascii="TeeFranklin Md" w:hAnsi="TeeFranklin Md"/>
        </w:rPr>
        <w:t xml:space="preserve">Linking the argument to later debates about Darwin’s theory of evolution in the context of modern conceptions of creationism or intelligent design  </w:t>
      </w:r>
    </w:p>
    <w:p w:rsidR="009A5BA1" w:rsidRDefault="009A5BA1" w:rsidP="009A5BA1">
      <w:pPr>
        <w:rPr>
          <w:rFonts w:ascii="TeeFranklin Md" w:hAnsi="TeeFranklin Md"/>
          <w:b/>
          <w:sz w:val="28"/>
          <w:szCs w:val="28"/>
        </w:rPr>
      </w:pPr>
    </w:p>
    <w:p w:rsidR="009A5BA1" w:rsidRDefault="009A5BA1" w:rsidP="009A5BA1">
      <w:pPr>
        <w:rPr>
          <w:rFonts w:ascii="TeeFranklin Md" w:hAnsi="TeeFranklin Md"/>
          <w:b/>
          <w:sz w:val="28"/>
          <w:szCs w:val="28"/>
        </w:rPr>
      </w:pPr>
    </w:p>
    <w:p w:rsidR="00DA3781" w:rsidRDefault="00DA3781"/>
    <w:sectPr w:rsidR="00DA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 Md">
    <w:altName w:val="Times New Roman"/>
    <w:panose1 w:val="00000000000000000000"/>
    <w:charset w:val="00"/>
    <w:family w:val="modern"/>
    <w:notTrueType/>
    <w:pitch w:val="variable"/>
    <w:sig w:usb0="8000002F" w:usb1="5000004A" w:usb2="00000000" w:usb3="00000000" w:csb0="0000011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80F"/>
    <w:multiLevelType w:val="hybridMultilevel"/>
    <w:tmpl w:val="0B1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23907"/>
    <w:multiLevelType w:val="hybridMultilevel"/>
    <w:tmpl w:val="9F04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B7E37"/>
    <w:multiLevelType w:val="hybridMultilevel"/>
    <w:tmpl w:val="9984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70910"/>
    <w:multiLevelType w:val="hybridMultilevel"/>
    <w:tmpl w:val="8D8E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E1EC9"/>
    <w:multiLevelType w:val="hybridMultilevel"/>
    <w:tmpl w:val="992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A1"/>
    <w:rsid w:val="009A5BA1"/>
    <w:rsid w:val="00DA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CB923-A955-4FB2-A42E-10BDFBA0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B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BA1"/>
    <w:pPr>
      <w:ind w:left="720"/>
      <w:contextualSpacing/>
    </w:pPr>
  </w:style>
  <w:style w:type="table" w:styleId="TableGrid">
    <w:name w:val="Table Grid"/>
    <w:basedOn w:val="TableNormal"/>
    <w:uiPriority w:val="59"/>
    <w:rsid w:val="009A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2016-04-11T18:22:00Z</dcterms:created>
  <dcterms:modified xsi:type="dcterms:W3CDTF">2016-04-11T18:24:00Z</dcterms:modified>
</cp:coreProperties>
</file>